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0EB1FC6" w14:textId="122229D6" w:rsidR="00606589" w:rsidRPr="00606589" w:rsidRDefault="00606589" w:rsidP="00606589">
      <w:pPr>
        <w:rPr>
          <w:b/>
          <w:bCs/>
          <w:color w:val="7030A0"/>
          <w:sz w:val="36"/>
          <w:szCs w:val="36"/>
        </w:rPr>
      </w:pPr>
      <w:r w:rsidRPr="00606589">
        <w:rPr>
          <w:b/>
          <w:bCs/>
          <w:color w:val="7030A0"/>
          <w:sz w:val="36"/>
          <w:szCs w:val="36"/>
        </w:rPr>
        <w:t xml:space="preserve">Global </w:t>
      </w:r>
      <w:r w:rsidRPr="00606589">
        <w:rPr>
          <w:b/>
          <w:bCs/>
          <w:color w:val="7030A0"/>
          <w:sz w:val="36"/>
          <w:szCs w:val="36"/>
        </w:rPr>
        <w:t>D</w:t>
      </w:r>
      <w:r w:rsidRPr="00606589">
        <w:rPr>
          <w:b/>
          <w:bCs/>
          <w:color w:val="7030A0"/>
          <w:sz w:val="36"/>
          <w:szCs w:val="36"/>
        </w:rPr>
        <w:t xml:space="preserve">igital </w:t>
      </w:r>
      <w:r w:rsidRPr="00606589">
        <w:rPr>
          <w:b/>
          <w:bCs/>
          <w:color w:val="7030A0"/>
          <w:sz w:val="36"/>
          <w:szCs w:val="36"/>
        </w:rPr>
        <w:t>A</w:t>
      </w:r>
      <w:r w:rsidRPr="00606589">
        <w:rPr>
          <w:b/>
          <w:bCs/>
          <w:color w:val="7030A0"/>
          <w:sz w:val="36"/>
          <w:szCs w:val="36"/>
        </w:rPr>
        <w:t xml:space="preserve">d </w:t>
      </w:r>
      <w:r w:rsidRPr="00606589">
        <w:rPr>
          <w:b/>
          <w:bCs/>
          <w:color w:val="7030A0"/>
          <w:sz w:val="36"/>
          <w:szCs w:val="36"/>
        </w:rPr>
        <w:t>S</w:t>
      </w:r>
      <w:r w:rsidRPr="00606589">
        <w:rPr>
          <w:b/>
          <w:bCs/>
          <w:color w:val="7030A0"/>
          <w:sz w:val="36"/>
          <w:szCs w:val="36"/>
        </w:rPr>
        <w:t xml:space="preserve">pending </w:t>
      </w:r>
      <w:r w:rsidRPr="00606589">
        <w:rPr>
          <w:b/>
          <w:bCs/>
          <w:color w:val="7030A0"/>
          <w:sz w:val="36"/>
          <w:szCs w:val="36"/>
        </w:rPr>
        <w:t>W</w:t>
      </w:r>
      <w:r w:rsidRPr="00606589">
        <w:rPr>
          <w:b/>
          <w:bCs/>
          <w:color w:val="7030A0"/>
          <w:sz w:val="36"/>
          <w:szCs w:val="36"/>
        </w:rPr>
        <w:t xml:space="preserve">ill </w:t>
      </w:r>
      <w:r w:rsidRPr="00606589">
        <w:rPr>
          <w:b/>
          <w:bCs/>
          <w:color w:val="7030A0"/>
          <w:sz w:val="36"/>
          <w:szCs w:val="36"/>
        </w:rPr>
        <w:t>S</w:t>
      </w:r>
      <w:r w:rsidRPr="00606589">
        <w:rPr>
          <w:b/>
          <w:bCs/>
          <w:color w:val="7030A0"/>
          <w:sz w:val="36"/>
          <w:szCs w:val="36"/>
        </w:rPr>
        <w:t xml:space="preserve">ee </w:t>
      </w:r>
      <w:r w:rsidRPr="00606589">
        <w:rPr>
          <w:b/>
          <w:bCs/>
          <w:color w:val="7030A0"/>
          <w:sz w:val="36"/>
          <w:szCs w:val="36"/>
        </w:rPr>
        <w:t>S</w:t>
      </w:r>
      <w:r w:rsidRPr="00606589">
        <w:rPr>
          <w:b/>
          <w:bCs/>
          <w:color w:val="7030A0"/>
          <w:sz w:val="36"/>
          <w:szCs w:val="36"/>
        </w:rPr>
        <w:t xml:space="preserve">low </w:t>
      </w:r>
      <w:r w:rsidRPr="00606589">
        <w:rPr>
          <w:b/>
          <w:bCs/>
          <w:color w:val="7030A0"/>
          <w:sz w:val="36"/>
          <w:szCs w:val="36"/>
        </w:rPr>
        <w:t>G</w:t>
      </w:r>
      <w:r w:rsidRPr="00606589">
        <w:rPr>
          <w:b/>
          <w:bCs/>
          <w:color w:val="7030A0"/>
          <w:sz w:val="36"/>
          <w:szCs w:val="36"/>
        </w:rPr>
        <w:t xml:space="preserve">rowth </w:t>
      </w:r>
      <w:r w:rsidRPr="00606589">
        <w:rPr>
          <w:b/>
          <w:bCs/>
          <w:color w:val="7030A0"/>
          <w:sz w:val="36"/>
          <w:szCs w:val="36"/>
        </w:rPr>
        <w:t>I</w:t>
      </w:r>
      <w:r w:rsidRPr="00606589">
        <w:rPr>
          <w:b/>
          <w:bCs/>
          <w:color w:val="7030A0"/>
          <w:sz w:val="36"/>
          <w:szCs w:val="36"/>
        </w:rPr>
        <w:t>n '23</w:t>
      </w:r>
    </w:p>
    <w:p w14:paraId="5657FC14" w14:textId="5A965FD5" w:rsidR="00606589" w:rsidRPr="00606589" w:rsidRDefault="00606589" w:rsidP="0060658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75B2D7" wp14:editId="548E9856">
            <wp:simplePos x="0" y="0"/>
            <wp:positionH relativeFrom="column">
              <wp:posOffset>4558030</wp:posOffset>
            </wp:positionH>
            <wp:positionV relativeFrom="paragraph">
              <wp:posOffset>497840</wp:posOffset>
            </wp:positionV>
            <wp:extent cx="17430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82" y="21246"/>
                <wp:lineTo x="21482" y="0"/>
                <wp:lineTo x="0" y="0"/>
              </wp:wrapPolygon>
            </wp:wrapTight>
            <wp:docPr id="21031493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89">
        <w:rPr>
          <w:sz w:val="36"/>
          <w:szCs w:val="36"/>
        </w:rPr>
        <w:t>Insider Intelligence predicts some of the world's top ad markets will see record lows in their growth of digital ad spending, including the US (7.8%), Canada (6.0%), Brazil (11.3%), UK (4.9%) and Germany (3.1%). The US will still be the top ad market in 2023, with an estimated 39.4% of total ad spending and 43.8% of digital, and account for approximately 33% of global digital ad spending growth.</w:t>
      </w:r>
    </w:p>
    <w:p w14:paraId="5E8DCD3D" w14:textId="4277BED1" w:rsidR="00FE75DF" w:rsidRPr="00606589" w:rsidRDefault="00606589" w:rsidP="00606589">
      <w:pPr>
        <w:jc w:val="right"/>
        <w:rPr>
          <w:b/>
          <w:bCs/>
          <w:i/>
          <w:iCs/>
          <w:color w:val="7030A0"/>
          <w:sz w:val="36"/>
          <w:szCs w:val="36"/>
        </w:rPr>
      </w:pPr>
      <w:r w:rsidRPr="00606589">
        <w:rPr>
          <w:b/>
          <w:bCs/>
          <w:i/>
          <w:iCs/>
          <w:color w:val="7030A0"/>
          <w:sz w:val="36"/>
          <w:szCs w:val="36"/>
        </w:rPr>
        <w:t>Insider Intelligence 5</w:t>
      </w:r>
      <w:r w:rsidRPr="00606589">
        <w:rPr>
          <w:b/>
          <w:bCs/>
          <w:i/>
          <w:iCs/>
          <w:color w:val="7030A0"/>
          <w:sz w:val="36"/>
          <w:szCs w:val="36"/>
        </w:rPr>
        <w:t>.16.23</w:t>
      </w:r>
    </w:p>
    <w:p w14:paraId="609D2C7D" w14:textId="5F023D13" w:rsidR="00606589" w:rsidRDefault="00606589" w:rsidP="00606589">
      <w:pPr>
        <w:jc w:val="right"/>
        <w:rPr>
          <w:i/>
          <w:iCs/>
          <w:sz w:val="24"/>
          <w:szCs w:val="24"/>
        </w:rPr>
      </w:pPr>
      <w:hyperlink r:id="rId5" w:history="1">
        <w:r w:rsidRPr="00606589">
          <w:rPr>
            <w:rStyle w:val="Hyperlink"/>
            <w:i/>
            <w:iCs/>
            <w:sz w:val="24"/>
            <w:szCs w:val="24"/>
          </w:rPr>
          <w:t>https://www.insiderintelligence.com/content/us-share-of-worldwide-ad-spending-will-decline-this-year-remain-on-upward-trend</w:t>
        </w:r>
      </w:hyperlink>
      <w:r w:rsidRPr="00606589">
        <w:rPr>
          <w:i/>
          <w:iCs/>
          <w:sz w:val="24"/>
          <w:szCs w:val="24"/>
        </w:rPr>
        <w:t xml:space="preserve"> </w:t>
      </w:r>
    </w:p>
    <w:p w14:paraId="292B6B95" w14:textId="48B525E4" w:rsidR="00606589" w:rsidRDefault="00606589" w:rsidP="00606589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617828A6" w14:textId="4C91A9FC" w:rsidR="00606589" w:rsidRDefault="00606589" w:rsidP="00606589">
      <w:pPr>
        <w:jc w:val="right"/>
        <w:rPr>
          <w:i/>
          <w:iCs/>
          <w:sz w:val="24"/>
          <w:szCs w:val="24"/>
        </w:rPr>
      </w:pPr>
      <w:hyperlink r:id="rId6" w:history="1">
        <w:r w:rsidRPr="0053645B">
          <w:rPr>
            <w:rStyle w:val="Hyperlink"/>
            <w:i/>
            <w:iCs/>
            <w:sz w:val="24"/>
            <w:szCs w:val="24"/>
          </w:rPr>
          <w:t>https://cdn.business2community.com/wp-content/uploads/2019/04/3G.SoMeAds.DigitalAds.4.1.2019.jpg</w:t>
        </w:r>
      </w:hyperlink>
    </w:p>
    <w:p w14:paraId="3054E773" w14:textId="77777777" w:rsidR="00606589" w:rsidRPr="00606589" w:rsidRDefault="00606589" w:rsidP="00606589">
      <w:pPr>
        <w:jc w:val="right"/>
        <w:rPr>
          <w:i/>
          <w:iCs/>
          <w:sz w:val="24"/>
          <w:szCs w:val="24"/>
        </w:rPr>
      </w:pPr>
    </w:p>
    <w:sectPr w:rsidR="00606589" w:rsidRPr="0060658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89"/>
    <w:rsid w:val="003837C3"/>
    <w:rsid w:val="00606589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C212"/>
  <w15:chartTrackingRefBased/>
  <w15:docId w15:val="{5C61A7AF-6227-4804-A733-8E619157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business2community.com/wp-content/uploads/2019/04/3G.SoMeAds.DigitalAds.4.1.2019.jpg" TargetMode="External"/><Relationship Id="rId5" Type="http://schemas.openxmlformats.org/officeDocument/2006/relationships/hyperlink" Target="https://www.insiderintelligence.com/content/us-share-of-worldwide-ad-spending-will-decline-this-year-remain-on-upward-tren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2023-05-17T15:20:00Z</dcterms:created>
  <dcterms:modified xsi:type="dcterms:W3CDTF">2023-05-17T15:24:00Z</dcterms:modified>
</cp:coreProperties>
</file>