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81E76" w:rsidRPr="00C81E76" w:rsidRDefault="00C81E76" w:rsidP="00C81E76">
      <w:pPr>
        <w:rPr>
          <w:b/>
          <w:color w:val="FF66FF"/>
          <w:sz w:val="36"/>
        </w:rPr>
      </w:pPr>
      <w:r w:rsidRPr="00C81E76">
        <w:rPr>
          <w:b/>
          <w:color w:val="FF66FF"/>
          <w:sz w:val="36"/>
        </w:rPr>
        <w:t>Key Influencer Trends to Shape 2020 S</w:t>
      </w:r>
      <w:r w:rsidRPr="00C81E76">
        <w:rPr>
          <w:b/>
          <w:color w:val="FF66FF"/>
          <w:sz w:val="36"/>
        </w:rPr>
        <w:t xml:space="preserve">trategies </w:t>
      </w:r>
    </w:p>
    <w:p w:rsidR="00C81E76" w:rsidRPr="00C81E76" w:rsidRDefault="00C81E76" w:rsidP="00C81E76">
      <w:pPr>
        <w:rPr>
          <w:sz w:val="36"/>
        </w:rPr>
      </w:pPr>
      <w:r w:rsidRPr="00C81E76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4CEAFD4E" wp14:editId="6E047918">
            <wp:simplePos x="0" y="0"/>
            <wp:positionH relativeFrom="column">
              <wp:posOffset>4772025</wp:posOffset>
            </wp:positionH>
            <wp:positionV relativeFrom="paragraph">
              <wp:posOffset>490220</wp:posOffset>
            </wp:positionV>
            <wp:extent cx="1460500" cy="1299845"/>
            <wp:effectExtent l="0" t="0" r="6350" b="0"/>
            <wp:wrapTight wrapText="bothSides">
              <wp:wrapPolygon edited="0">
                <wp:start x="0" y="0"/>
                <wp:lineTo x="0" y="21210"/>
                <wp:lineTo x="21412" y="21210"/>
                <wp:lineTo x="2141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050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E76">
        <w:rPr>
          <w:sz w:val="36"/>
        </w:rPr>
        <w:t>In this final article of his three-part series on influencer marketing, Kent Lewis details six key trends that marketers should be focusing on for their 20</w:t>
      </w:r>
      <w:bookmarkStart w:id="0" w:name="_GoBack"/>
      <w:bookmarkEnd w:id="0"/>
      <w:r w:rsidRPr="00C81E76">
        <w:rPr>
          <w:sz w:val="36"/>
        </w:rPr>
        <w:t>20 strategies. He recommends that collaborations with influencers should be transparent, have a long-term focus and embrace "raw realism," and offers specific advice to business-to-business marketers.</w:t>
      </w:r>
    </w:p>
    <w:p w:rsidR="00CF175D" w:rsidRPr="00C81E76" w:rsidRDefault="00C81E76" w:rsidP="00C81E76">
      <w:pPr>
        <w:jc w:val="right"/>
        <w:rPr>
          <w:b/>
          <w:i/>
          <w:color w:val="FF66FF"/>
          <w:sz w:val="36"/>
        </w:rPr>
      </w:pPr>
      <w:r w:rsidRPr="00C81E76">
        <w:rPr>
          <w:b/>
          <w:i/>
          <w:color w:val="FF66FF"/>
          <w:sz w:val="36"/>
        </w:rPr>
        <w:t>SmartBrief/Marketing 9/18/19</w:t>
      </w:r>
    </w:p>
    <w:p w:rsidR="00C81E76" w:rsidRDefault="00C81E76" w:rsidP="00C81E76">
      <w:hyperlink r:id="rId6" w:history="1">
        <w:r w:rsidRPr="002E62A3">
          <w:rPr>
            <w:rStyle w:val="Hyperlink"/>
          </w:rPr>
          <w:t>https://www.smartbrief.com/original/2019/09/influencer-marketing-trends-part-3?utm_source=brief</w:t>
        </w:r>
      </w:hyperlink>
    </w:p>
    <w:p w:rsidR="00C81E76" w:rsidRDefault="00C81E76" w:rsidP="00C81E76">
      <w:r>
        <w:t>Image credit:</w:t>
      </w:r>
    </w:p>
    <w:p w:rsidR="00C81E76" w:rsidRDefault="00C81E76" w:rsidP="00C81E76">
      <w:hyperlink r:id="rId7" w:history="1">
        <w:r w:rsidRPr="002E62A3">
          <w:rPr>
            <w:rStyle w:val="Hyperlink"/>
          </w:rPr>
          <w:t>https://digitalglue.agency/wp-content/uploads/2017/04/iStock-475198255.jpg</w:t>
        </w:r>
      </w:hyperlink>
      <w:r>
        <w:t xml:space="preserve"> </w:t>
      </w:r>
    </w:p>
    <w:p w:rsidR="00C81E76" w:rsidRDefault="00C81E76" w:rsidP="00C81E76"/>
    <w:sectPr w:rsidR="00C81E7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76"/>
    <w:rsid w:val="00194E35"/>
    <w:rsid w:val="00226A80"/>
    <w:rsid w:val="00A90A24"/>
    <w:rsid w:val="00C81E7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E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E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glue.agency/wp-content/uploads/2017/04/iStock-47519825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artbrief.com/original/2019/09/influencer-marketing-trends-part-3?utm_source=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2019-09-20T12:22:00Z</dcterms:created>
  <dcterms:modified xsi:type="dcterms:W3CDTF">2019-09-20T12:27:00Z</dcterms:modified>
</cp:coreProperties>
</file>