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80F38" w:rsidRPr="00080F38" w:rsidRDefault="00080F38" w:rsidP="00080F38">
      <w:pPr>
        <w:rPr>
          <w:b/>
          <w:color w:val="660033"/>
          <w:sz w:val="40"/>
          <w:szCs w:val="40"/>
        </w:rPr>
      </w:pPr>
      <w:r w:rsidRPr="00080F38">
        <w:rPr>
          <w:b/>
          <w:color w:val="660033"/>
          <w:sz w:val="40"/>
          <w:szCs w:val="40"/>
        </w:rPr>
        <w:t>Music Formats Stumble</w:t>
      </w:r>
    </w:p>
    <w:p w:rsidR="00CF175D" w:rsidRPr="00080F38" w:rsidRDefault="00080F38" w:rsidP="00080F3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C7BE56" wp14:editId="5FDDB5F8">
            <wp:simplePos x="0" y="0"/>
            <wp:positionH relativeFrom="column">
              <wp:posOffset>4614545</wp:posOffset>
            </wp:positionH>
            <wp:positionV relativeFrom="paragraph">
              <wp:posOffset>1124585</wp:posOffset>
            </wp:positionV>
            <wp:extent cx="1542415" cy="867410"/>
            <wp:effectExtent l="0" t="0" r="635" b="8890"/>
            <wp:wrapTight wrapText="bothSides">
              <wp:wrapPolygon edited="0">
                <wp:start x="0" y="0"/>
                <wp:lineTo x="0" y="21347"/>
                <wp:lineTo x="21342" y="21347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F38">
        <w:rPr>
          <w:sz w:val="40"/>
          <w:szCs w:val="40"/>
        </w:rPr>
        <w:t xml:space="preserve">As spoken word formats shot higher, some music formats paid the price, according to Nielsen. CHR listening share fell from 8.4% to 7.4% between June and October, respectively; </w:t>
      </w:r>
      <w:bookmarkStart w:id="0" w:name="_GoBack"/>
      <w:bookmarkEnd w:id="0"/>
      <w:r w:rsidRPr="00080F38">
        <w:rPr>
          <w:sz w:val="40"/>
          <w:szCs w:val="40"/>
        </w:rPr>
        <w:t>Country declined from 8.2% in each of the past three months to 7.9% this month; Urban Contemporary dropped from last month's record 3.7% to 3.5% this month; and Hot AC was down from July's record 6.9% to 6.4% in October.</w:t>
      </w:r>
    </w:p>
    <w:p w:rsidR="00080F38" w:rsidRPr="00080F38" w:rsidRDefault="00080F38" w:rsidP="00080F38">
      <w:pPr>
        <w:jc w:val="right"/>
        <w:rPr>
          <w:b/>
          <w:i/>
          <w:color w:val="660033"/>
          <w:sz w:val="40"/>
          <w:szCs w:val="40"/>
        </w:rPr>
      </w:pPr>
      <w:r w:rsidRPr="00080F38">
        <w:rPr>
          <w:b/>
          <w:i/>
          <w:color w:val="660033"/>
          <w:sz w:val="40"/>
          <w:szCs w:val="40"/>
        </w:rPr>
        <w:t>RadioInk 11.3.15</w:t>
      </w:r>
    </w:p>
    <w:p w:rsidR="00080F38" w:rsidRDefault="00080F38" w:rsidP="00080F38">
      <w:hyperlink r:id="rId6" w:history="1">
        <w:r w:rsidRPr="007862AC">
          <w:rPr>
            <w:rStyle w:val="Hyperlink"/>
          </w:rPr>
          <w:t>http://www.radioink.com/Article.asp?id=2991716&amp;spid=30800</w:t>
        </w:r>
      </w:hyperlink>
    </w:p>
    <w:p w:rsidR="00080F38" w:rsidRDefault="00080F38" w:rsidP="00080F38">
      <w:r>
        <w:t>The full Nielsen report:</w:t>
      </w:r>
    </w:p>
    <w:p w:rsidR="00080F38" w:rsidRDefault="00080F38" w:rsidP="00080F38">
      <w:hyperlink r:id="rId7" w:history="1">
        <w:r w:rsidRPr="007862AC">
          <w:rPr>
            <w:rStyle w:val="Hyperlink"/>
          </w:rPr>
          <w:t>http://www.nielsen.com/us/en/insights/news/2015/radio-fall-classic-sports-radio-hits-a-grand-slam-in-october.html</w:t>
        </w:r>
      </w:hyperlink>
    </w:p>
    <w:p w:rsidR="00080F38" w:rsidRDefault="00080F38" w:rsidP="00080F38"/>
    <w:p w:rsidR="00080F38" w:rsidRDefault="00080F38" w:rsidP="00080F38"/>
    <w:p w:rsidR="00080F38" w:rsidRDefault="00080F38" w:rsidP="00080F38"/>
    <w:p w:rsidR="00080F38" w:rsidRDefault="00080F38" w:rsidP="00080F38"/>
    <w:p w:rsidR="00080F38" w:rsidRDefault="00080F38" w:rsidP="00080F38"/>
    <w:sectPr w:rsidR="00080F3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38"/>
    <w:rsid w:val="00080F3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elsen.com/us/en/insights/news/2015/radio-fall-classic-sports-radio-hits-a-grand-slam-in-octob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91716&amp;spid=30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2015-11-04T12:35:00Z</dcterms:created>
  <dcterms:modified xsi:type="dcterms:W3CDTF">2015-11-04T12:44:00Z</dcterms:modified>
</cp:coreProperties>
</file>