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7EBB17C8" w14:textId="557950F4" w:rsidR="000E63C5" w:rsidRPr="000E63C5" w:rsidRDefault="000E63C5" w:rsidP="000E63C5">
      <w:pPr>
        <w:rPr>
          <w:b/>
          <w:bCs/>
          <w:color w:val="FF0000"/>
          <w:sz w:val="36"/>
          <w:szCs w:val="36"/>
        </w:rPr>
      </w:pPr>
      <w:r w:rsidRPr="000E63C5">
        <w:rPr>
          <w:b/>
          <w:bCs/>
          <w:color w:val="FF0000"/>
          <w:sz w:val="36"/>
          <w:szCs w:val="36"/>
        </w:rPr>
        <w:t xml:space="preserve">Netflix </w:t>
      </w:r>
      <w:r w:rsidRPr="000E63C5">
        <w:rPr>
          <w:b/>
          <w:bCs/>
          <w:color w:val="FF0000"/>
          <w:sz w:val="36"/>
          <w:szCs w:val="36"/>
        </w:rPr>
        <w:t>S</w:t>
      </w:r>
      <w:r w:rsidRPr="000E63C5">
        <w:rPr>
          <w:b/>
          <w:bCs/>
          <w:color w:val="FF0000"/>
          <w:sz w:val="36"/>
          <w:szCs w:val="36"/>
        </w:rPr>
        <w:t xml:space="preserve">ubscriber </w:t>
      </w:r>
      <w:r w:rsidRPr="000E63C5">
        <w:rPr>
          <w:b/>
          <w:bCs/>
          <w:color w:val="FF0000"/>
          <w:sz w:val="36"/>
          <w:szCs w:val="36"/>
        </w:rPr>
        <w:t>B</w:t>
      </w:r>
      <w:r w:rsidRPr="000E63C5">
        <w:rPr>
          <w:b/>
          <w:bCs/>
          <w:color w:val="FF0000"/>
          <w:sz w:val="36"/>
          <w:szCs w:val="36"/>
        </w:rPr>
        <w:t xml:space="preserve">ase </w:t>
      </w:r>
      <w:r w:rsidRPr="000E63C5">
        <w:rPr>
          <w:b/>
          <w:bCs/>
          <w:color w:val="FF0000"/>
          <w:sz w:val="36"/>
          <w:szCs w:val="36"/>
        </w:rPr>
        <w:t>W</w:t>
      </w:r>
      <w:r w:rsidRPr="000E63C5">
        <w:rPr>
          <w:b/>
          <w:bCs/>
          <w:color w:val="FF0000"/>
          <w:sz w:val="36"/>
          <w:szCs w:val="36"/>
        </w:rPr>
        <w:t xml:space="preserve">ill </w:t>
      </w:r>
      <w:r w:rsidRPr="000E63C5">
        <w:rPr>
          <w:b/>
          <w:bCs/>
          <w:color w:val="FF0000"/>
          <w:sz w:val="36"/>
          <w:szCs w:val="36"/>
        </w:rPr>
        <w:t>G</w:t>
      </w:r>
      <w:r w:rsidRPr="000E63C5">
        <w:rPr>
          <w:b/>
          <w:bCs/>
          <w:color w:val="FF0000"/>
          <w:sz w:val="36"/>
          <w:szCs w:val="36"/>
        </w:rPr>
        <w:t xml:space="preserve">row </w:t>
      </w:r>
      <w:r w:rsidRPr="000E63C5">
        <w:rPr>
          <w:b/>
          <w:bCs/>
          <w:color w:val="FF0000"/>
          <w:sz w:val="36"/>
          <w:szCs w:val="36"/>
        </w:rPr>
        <w:t>W</w:t>
      </w:r>
      <w:r w:rsidRPr="000E63C5">
        <w:rPr>
          <w:b/>
          <w:bCs/>
          <w:color w:val="FF0000"/>
          <w:sz w:val="36"/>
          <w:szCs w:val="36"/>
        </w:rPr>
        <w:t xml:space="preserve">ith </w:t>
      </w:r>
      <w:r w:rsidRPr="000E63C5">
        <w:rPr>
          <w:b/>
          <w:bCs/>
          <w:color w:val="FF0000"/>
          <w:sz w:val="36"/>
          <w:szCs w:val="36"/>
        </w:rPr>
        <w:t>A</w:t>
      </w:r>
      <w:r w:rsidRPr="000E63C5">
        <w:rPr>
          <w:b/>
          <w:bCs/>
          <w:color w:val="FF0000"/>
          <w:sz w:val="36"/>
          <w:szCs w:val="36"/>
        </w:rPr>
        <w:t xml:space="preserve">ds, </w:t>
      </w:r>
      <w:r w:rsidRPr="000E63C5">
        <w:rPr>
          <w:b/>
          <w:bCs/>
          <w:color w:val="FF0000"/>
          <w:sz w:val="36"/>
          <w:szCs w:val="36"/>
        </w:rPr>
        <w:t>E</w:t>
      </w:r>
      <w:r w:rsidRPr="000E63C5">
        <w:rPr>
          <w:b/>
          <w:bCs/>
          <w:color w:val="FF0000"/>
          <w:sz w:val="36"/>
          <w:szCs w:val="36"/>
        </w:rPr>
        <w:t xml:space="preserve">xpert </w:t>
      </w:r>
      <w:r w:rsidRPr="000E63C5">
        <w:rPr>
          <w:b/>
          <w:bCs/>
          <w:color w:val="FF0000"/>
          <w:sz w:val="36"/>
          <w:szCs w:val="36"/>
        </w:rPr>
        <w:t>S</w:t>
      </w:r>
      <w:r w:rsidRPr="000E63C5">
        <w:rPr>
          <w:b/>
          <w:bCs/>
          <w:color w:val="FF0000"/>
          <w:sz w:val="36"/>
          <w:szCs w:val="36"/>
        </w:rPr>
        <w:t>ays</w:t>
      </w:r>
    </w:p>
    <w:p w14:paraId="6A8C4638" w14:textId="5BFAB8C4" w:rsidR="000E63C5" w:rsidRPr="000E63C5" w:rsidRDefault="000E63C5" w:rsidP="000E63C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BA1C3B8" wp14:editId="2F08C125">
            <wp:simplePos x="0" y="0"/>
            <wp:positionH relativeFrom="column">
              <wp:posOffset>4810615</wp:posOffset>
            </wp:positionH>
            <wp:positionV relativeFrom="paragraph">
              <wp:posOffset>256637</wp:posOffset>
            </wp:positionV>
            <wp:extent cx="1355725" cy="903605"/>
            <wp:effectExtent l="0" t="0" r="0" b="0"/>
            <wp:wrapTight wrapText="bothSides">
              <wp:wrapPolygon edited="0">
                <wp:start x="0" y="0"/>
                <wp:lineTo x="0" y="20947"/>
                <wp:lineTo x="21246" y="20947"/>
                <wp:lineTo x="21246" y="0"/>
                <wp:lineTo x="0" y="0"/>
              </wp:wrapPolygon>
            </wp:wrapTight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3C5">
        <w:rPr>
          <w:sz w:val="36"/>
          <w:szCs w:val="36"/>
        </w:rPr>
        <w:t>The addition of an ad-supported tier could boost Netflix subscriber numbers to 272 million by 2025, Wells Fargo media analyst Steven Cahall predicts. Cahall also forecasts that revenue per subscriber will reach $14.20 per month by 2025.</w:t>
      </w:r>
    </w:p>
    <w:p w14:paraId="791F6530" w14:textId="772776E8" w:rsidR="00FE75DF" w:rsidRPr="007E3BF3" w:rsidRDefault="000E63C5" w:rsidP="000E63C5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7E3BF3">
        <w:rPr>
          <w:b/>
          <w:bCs/>
          <w:i/>
          <w:iCs/>
          <w:color w:val="FF0000"/>
          <w:sz w:val="36"/>
          <w:szCs w:val="36"/>
        </w:rPr>
        <w:t>Next TV/Broadcasting+Cable 6/3</w:t>
      </w:r>
      <w:r w:rsidRPr="007E3BF3">
        <w:rPr>
          <w:b/>
          <w:bCs/>
          <w:i/>
          <w:iCs/>
          <w:color w:val="FF0000"/>
          <w:sz w:val="36"/>
          <w:szCs w:val="36"/>
        </w:rPr>
        <w:t>/22</w:t>
      </w:r>
    </w:p>
    <w:p w14:paraId="4D353A96" w14:textId="498CA2CC" w:rsidR="000E63C5" w:rsidRPr="000E63C5" w:rsidRDefault="000E63C5" w:rsidP="000E63C5">
      <w:pPr>
        <w:jc w:val="right"/>
        <w:rPr>
          <w:i/>
          <w:iCs/>
        </w:rPr>
      </w:pPr>
      <w:hyperlink r:id="rId5" w:history="1">
        <w:r w:rsidRPr="000E63C5">
          <w:rPr>
            <w:rStyle w:val="Hyperlink"/>
            <w:i/>
            <w:iCs/>
          </w:rPr>
          <w:t>https://www.nexttv.com/news/analyst-projects-adding-commercials-increasing-netflix-subscribers-by-6-and-earnings-by-20-in-2025?utm_source=SmartBrief&amp;utm_medium=email&amp;utm_campaign=45863C53-9E40-4489-97A3-CC1A29EF491D&amp;utm_content=5BAC2DAC-B132-4FED-8FD5-3CAB65DAB34C&amp;utm_term=a25693a1-51b6-4112-bde4-56bd420e983f</w:t>
        </w:r>
      </w:hyperlink>
    </w:p>
    <w:p w14:paraId="347B69A4" w14:textId="77777777" w:rsidR="000E63C5" w:rsidRDefault="000E63C5" w:rsidP="000E63C5"/>
    <w:sectPr w:rsidR="000E63C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FB"/>
    <w:rsid w:val="000E63C5"/>
    <w:rsid w:val="003837C3"/>
    <w:rsid w:val="00790FFB"/>
    <w:rsid w:val="007E3BF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DAA4"/>
  <w15:chartTrackingRefBased/>
  <w15:docId w15:val="{4812DCF1-AF3D-47CD-98E3-C81F58C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analyst-projects-adding-commercials-increasing-netflix-subscribers-by-6-and-earnings-by-20-in-2025?utm_source=SmartBrief&amp;utm_medium=email&amp;utm_campaign=45863C53-9E40-4489-97A3-CC1A29EF491D&amp;utm_content=5BAC2DAC-B132-4FED-8FD5-3CAB65DAB34C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2022-06-06T11:33:00Z</dcterms:created>
  <dcterms:modified xsi:type="dcterms:W3CDTF">2022-06-06T11:36:00Z</dcterms:modified>
</cp:coreProperties>
</file>