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505601" w:rsidRPr="00505601" w:rsidRDefault="00505601" w:rsidP="00505601">
      <w:pPr>
        <w:rPr>
          <w:b/>
          <w:color w:val="666633"/>
          <w:sz w:val="40"/>
          <w:szCs w:val="40"/>
        </w:rPr>
      </w:pPr>
      <w:r w:rsidRPr="00505601">
        <w:rPr>
          <w:b/>
          <w:color w:val="666633"/>
          <w:sz w:val="40"/>
          <w:szCs w:val="40"/>
        </w:rPr>
        <w:t>Virtual Reality Predictions: What Advertisers Should K</w:t>
      </w:r>
      <w:r w:rsidRPr="00505601">
        <w:rPr>
          <w:b/>
          <w:color w:val="666633"/>
          <w:sz w:val="40"/>
          <w:szCs w:val="40"/>
        </w:rPr>
        <w:t xml:space="preserve">now </w:t>
      </w:r>
    </w:p>
    <w:p w:rsidR="00505601" w:rsidRPr="00505601" w:rsidRDefault="00505601" w:rsidP="00505601">
      <w:pPr>
        <w:rPr>
          <w:sz w:val="40"/>
          <w:szCs w:val="40"/>
        </w:rPr>
      </w:pPr>
      <w:r w:rsidRPr="00505601">
        <w:rPr>
          <w:rFonts w:ascii="Arial" w:hAnsi="Arial" w:cs="Arial"/>
          <w:noProof/>
          <w:sz w:val="40"/>
          <w:szCs w:val="40"/>
        </w:rPr>
        <w:drawing>
          <wp:anchor distT="0" distB="0" distL="114300" distR="114300" simplePos="0" relativeHeight="251658240" behindDoc="1" locked="0" layoutInCell="1" allowOverlap="1" wp14:anchorId="5DEC3BBE" wp14:editId="4ABCC2FC">
            <wp:simplePos x="0" y="0"/>
            <wp:positionH relativeFrom="column">
              <wp:posOffset>4490720</wp:posOffset>
            </wp:positionH>
            <wp:positionV relativeFrom="paragraph">
              <wp:posOffset>156210</wp:posOffset>
            </wp:positionV>
            <wp:extent cx="1527175" cy="892175"/>
            <wp:effectExtent l="0" t="0" r="0" b="3175"/>
            <wp:wrapTight wrapText="bothSides">
              <wp:wrapPolygon edited="0">
                <wp:start x="0" y="0"/>
                <wp:lineTo x="0" y="21216"/>
                <wp:lineTo x="21286" y="21216"/>
                <wp:lineTo x="21286" y="0"/>
                <wp:lineTo x="0" y="0"/>
              </wp:wrapPolygon>
            </wp:wrapTight>
            <wp:docPr id="1" name="Picture 1" descr="http://s.newsweek.com/sites/www.newsweek.com/files/styles/headline/public/2015/11/23/virtual-re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week.com/sites/www.newsweek.com/files/styles/headline/public/2015/11/23/virtual-realit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7175" cy="89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601">
        <w:rPr>
          <w:sz w:val="40"/>
          <w:szCs w:val="40"/>
        </w:rPr>
        <w:t>Goldman Sachs has released four charts showing its predictions for virtual reality, including that it will be an $80 billion market by 2025 but will have slower uptake than that seen with mobile devices. Video games will be the largest area to use virtual reality, followed by health care, engineering, live events and video entertain</w:t>
      </w:r>
      <w:bookmarkStart w:id="0" w:name="_GoBack"/>
      <w:bookmarkEnd w:id="0"/>
      <w:r w:rsidRPr="00505601">
        <w:rPr>
          <w:sz w:val="40"/>
          <w:szCs w:val="40"/>
        </w:rPr>
        <w:t xml:space="preserve">ment. </w:t>
      </w:r>
    </w:p>
    <w:p w:rsidR="008E144F" w:rsidRPr="00505601" w:rsidRDefault="00505601" w:rsidP="00505601">
      <w:pPr>
        <w:jc w:val="right"/>
        <w:rPr>
          <w:b/>
          <w:i/>
          <w:color w:val="666633"/>
          <w:sz w:val="40"/>
          <w:szCs w:val="40"/>
        </w:rPr>
      </w:pPr>
      <w:r w:rsidRPr="00505601">
        <w:rPr>
          <w:b/>
          <w:i/>
          <w:color w:val="666633"/>
          <w:sz w:val="40"/>
          <w:szCs w:val="40"/>
        </w:rPr>
        <w:t>Bloomberg 1/13/16</w:t>
      </w:r>
    </w:p>
    <w:p w:rsidR="00505601" w:rsidRPr="00505601" w:rsidRDefault="00505601" w:rsidP="00505601">
      <w:pPr>
        <w:jc w:val="right"/>
        <w:rPr>
          <w:b/>
          <w:i/>
          <w:sz w:val="28"/>
          <w:szCs w:val="28"/>
        </w:rPr>
      </w:pPr>
      <w:hyperlink r:id="rId6" w:history="1">
        <w:r w:rsidRPr="00505601">
          <w:rPr>
            <w:rStyle w:val="Hyperlink"/>
            <w:b/>
            <w:i/>
            <w:sz w:val="28"/>
            <w:szCs w:val="28"/>
          </w:rPr>
          <w:t>http://www.bloomberg.com/news/articles/2016-01-13/goldman-sachs-has-four-charts-showing-the-huge-potential-in-virtual-and-augmented-reality</w:t>
        </w:r>
      </w:hyperlink>
    </w:p>
    <w:p w:rsidR="00505601" w:rsidRDefault="00505601" w:rsidP="00505601">
      <w:pPr>
        <w:jc w:val="right"/>
        <w:rPr>
          <w:b/>
          <w:i/>
          <w:sz w:val="40"/>
          <w:szCs w:val="40"/>
        </w:rPr>
      </w:pPr>
    </w:p>
    <w:p w:rsidR="00505601" w:rsidRPr="00505601" w:rsidRDefault="00505601" w:rsidP="00505601">
      <w:pPr>
        <w:jc w:val="right"/>
        <w:rPr>
          <w:b/>
          <w:i/>
          <w:sz w:val="40"/>
          <w:szCs w:val="40"/>
        </w:rPr>
      </w:pPr>
    </w:p>
    <w:sectPr w:rsidR="00505601" w:rsidRPr="00505601" w:rsidSect="00505601">
      <w:pgSz w:w="12240" w:h="15840"/>
      <w:pgMar w:top="1296"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01"/>
    <w:rsid w:val="004A14F9"/>
    <w:rsid w:val="00505601"/>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601"/>
    <w:rPr>
      <w:rFonts w:ascii="Tahoma" w:hAnsi="Tahoma" w:cs="Tahoma"/>
      <w:sz w:val="16"/>
      <w:szCs w:val="16"/>
    </w:rPr>
  </w:style>
  <w:style w:type="character" w:styleId="Hyperlink">
    <w:name w:val="Hyperlink"/>
    <w:basedOn w:val="DefaultParagraphFont"/>
    <w:uiPriority w:val="99"/>
    <w:unhideWhenUsed/>
    <w:rsid w:val="005056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601"/>
    <w:rPr>
      <w:rFonts w:ascii="Tahoma" w:hAnsi="Tahoma" w:cs="Tahoma"/>
      <w:sz w:val="16"/>
      <w:szCs w:val="16"/>
    </w:rPr>
  </w:style>
  <w:style w:type="character" w:styleId="Hyperlink">
    <w:name w:val="Hyperlink"/>
    <w:basedOn w:val="DefaultParagraphFont"/>
    <w:uiPriority w:val="99"/>
    <w:unhideWhenUsed/>
    <w:rsid w:val="005056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loomberg.com/news/articles/2016-01-13/goldman-sachs-has-four-charts-showing-the-huge-potential-in-virtual-and-augmented-realit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cp:lastPrinted>2016-01-14T17:33:00Z</cp:lastPrinted>
  <dcterms:created xsi:type="dcterms:W3CDTF">2016-01-14T17:29:00Z</dcterms:created>
  <dcterms:modified xsi:type="dcterms:W3CDTF">2016-01-14T17:35:00Z</dcterms:modified>
</cp:coreProperties>
</file>