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2F726C83" w14:textId="77777777" w:rsidR="00FE75DF" w:rsidRPr="00292E61" w:rsidRDefault="00292E61">
      <w:pPr>
        <w:rPr>
          <w:b/>
          <w:bCs/>
          <w:color w:val="2F5496" w:themeColor="accent1" w:themeShade="BF"/>
          <w:sz w:val="36"/>
          <w:szCs w:val="36"/>
        </w:rPr>
      </w:pPr>
      <w:r w:rsidRPr="00292E61">
        <w:rPr>
          <w:b/>
          <w:bCs/>
          <w:color w:val="2F5496" w:themeColor="accent1" w:themeShade="BF"/>
          <w:sz w:val="36"/>
          <w:szCs w:val="36"/>
        </w:rPr>
        <w:t xml:space="preserve">The Chicago Tribune </w:t>
      </w:r>
      <w:r w:rsidRPr="00292E61">
        <w:rPr>
          <w:b/>
          <w:bCs/>
          <w:color w:val="2F5496" w:themeColor="accent1" w:themeShade="BF"/>
          <w:sz w:val="36"/>
          <w:szCs w:val="36"/>
        </w:rPr>
        <w:t>C</w:t>
      </w:r>
      <w:r w:rsidRPr="00292E61">
        <w:rPr>
          <w:b/>
          <w:bCs/>
          <w:color w:val="2F5496" w:themeColor="accent1" w:themeShade="BF"/>
          <w:sz w:val="36"/>
          <w:szCs w:val="36"/>
        </w:rPr>
        <w:t>hange</w:t>
      </w:r>
      <w:r w:rsidRPr="00292E61">
        <w:rPr>
          <w:b/>
          <w:bCs/>
          <w:color w:val="2F5496" w:themeColor="accent1" w:themeShade="BF"/>
          <w:sz w:val="36"/>
          <w:szCs w:val="36"/>
        </w:rPr>
        <w:t>s</w:t>
      </w:r>
      <w:r w:rsidRPr="00292E61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Pr="00292E61">
        <w:rPr>
          <w:b/>
          <w:bCs/>
          <w:color w:val="2F5496" w:themeColor="accent1" w:themeShade="BF"/>
          <w:sz w:val="36"/>
          <w:szCs w:val="36"/>
        </w:rPr>
        <w:t>H</w:t>
      </w:r>
      <w:r w:rsidRPr="00292E61">
        <w:rPr>
          <w:b/>
          <w:bCs/>
          <w:color w:val="2F5496" w:themeColor="accent1" w:themeShade="BF"/>
          <w:sz w:val="36"/>
          <w:szCs w:val="36"/>
        </w:rPr>
        <w:t xml:space="preserve">ow </w:t>
      </w:r>
      <w:r w:rsidRPr="00292E61">
        <w:rPr>
          <w:b/>
          <w:bCs/>
          <w:color w:val="2F5496" w:themeColor="accent1" w:themeShade="BF"/>
          <w:sz w:val="36"/>
          <w:szCs w:val="36"/>
        </w:rPr>
        <w:t>I</w:t>
      </w:r>
      <w:r w:rsidRPr="00292E61">
        <w:rPr>
          <w:b/>
          <w:bCs/>
          <w:color w:val="2F5496" w:themeColor="accent1" w:themeShade="BF"/>
          <w:sz w:val="36"/>
          <w:szCs w:val="36"/>
        </w:rPr>
        <w:t xml:space="preserve">t </w:t>
      </w:r>
      <w:r w:rsidRPr="00292E61">
        <w:rPr>
          <w:b/>
          <w:bCs/>
          <w:color w:val="2F5496" w:themeColor="accent1" w:themeShade="BF"/>
          <w:sz w:val="36"/>
          <w:szCs w:val="36"/>
        </w:rPr>
        <w:t>H</w:t>
      </w:r>
      <w:r w:rsidRPr="00292E61">
        <w:rPr>
          <w:b/>
          <w:bCs/>
          <w:color w:val="2F5496" w:themeColor="accent1" w:themeShade="BF"/>
          <w:sz w:val="36"/>
          <w:szCs w:val="36"/>
        </w:rPr>
        <w:t xml:space="preserve">andles </w:t>
      </w:r>
      <w:r w:rsidRPr="00292E61">
        <w:rPr>
          <w:b/>
          <w:bCs/>
          <w:color w:val="2F5496" w:themeColor="accent1" w:themeShade="BF"/>
          <w:sz w:val="36"/>
          <w:szCs w:val="36"/>
        </w:rPr>
        <w:t>M</w:t>
      </w:r>
      <w:r w:rsidRPr="00292E61">
        <w:rPr>
          <w:b/>
          <w:bCs/>
          <w:color w:val="2F5496" w:themeColor="accent1" w:themeShade="BF"/>
          <w:sz w:val="36"/>
          <w:szCs w:val="36"/>
        </w:rPr>
        <w:t xml:space="preserve">ug </w:t>
      </w:r>
      <w:r w:rsidRPr="00292E61">
        <w:rPr>
          <w:b/>
          <w:bCs/>
          <w:color w:val="2F5496" w:themeColor="accent1" w:themeShade="BF"/>
          <w:sz w:val="36"/>
          <w:szCs w:val="36"/>
        </w:rPr>
        <w:t>S</w:t>
      </w:r>
      <w:r w:rsidRPr="00292E61">
        <w:rPr>
          <w:b/>
          <w:bCs/>
          <w:color w:val="2F5496" w:themeColor="accent1" w:themeShade="BF"/>
          <w:sz w:val="36"/>
          <w:szCs w:val="36"/>
        </w:rPr>
        <w:t>hots</w:t>
      </w:r>
    </w:p>
    <w:p w14:paraId="53B9988F" w14:textId="736311A1" w:rsidR="00292E61" w:rsidRPr="00292E61" w:rsidRDefault="00292E6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B76D39" wp14:editId="1E60F8B9">
            <wp:simplePos x="0" y="0"/>
            <wp:positionH relativeFrom="column">
              <wp:posOffset>5118082</wp:posOffset>
            </wp:positionH>
            <wp:positionV relativeFrom="paragraph">
              <wp:posOffset>85388</wp:posOffset>
            </wp:positionV>
            <wp:extent cx="1100455" cy="1083945"/>
            <wp:effectExtent l="152400" t="152400" r="366395" b="363855"/>
            <wp:wrapTight wrapText="bothSides">
              <wp:wrapPolygon edited="0">
                <wp:start x="1496" y="-3037"/>
                <wp:lineTo x="-2991" y="-2278"/>
                <wp:lineTo x="-2991" y="23156"/>
                <wp:lineTo x="3739" y="28471"/>
                <wp:lineTo x="21687" y="28471"/>
                <wp:lineTo x="22061" y="27712"/>
                <wp:lineTo x="28044" y="22397"/>
                <wp:lineTo x="28418" y="3796"/>
                <wp:lineTo x="23931" y="-1898"/>
                <wp:lineTo x="23557" y="-3037"/>
                <wp:lineTo x="1496" y="-3037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83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E61">
        <w:rPr>
          <w:sz w:val="36"/>
          <w:szCs w:val="36"/>
        </w:rPr>
        <w:t>In a letter to readers, Chicago Tribune Editor-in-Chief Colin McMahon announced that the Tribune will take a “considered and restrained” approach to publishing mug shots, with the result that readers will be seeing far fewer of them.</w:t>
      </w:r>
    </w:p>
    <w:p w14:paraId="121E7DEB" w14:textId="77777777" w:rsidR="00292E61" w:rsidRPr="00292E61" w:rsidRDefault="00292E61" w:rsidP="00292E61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292E61">
        <w:rPr>
          <w:b/>
          <w:bCs/>
          <w:i/>
          <w:iCs/>
          <w:color w:val="2F5496" w:themeColor="accent1" w:themeShade="BF"/>
          <w:sz w:val="36"/>
          <w:szCs w:val="36"/>
        </w:rPr>
        <w:t>The Chicago Tribune 2.10.21</w:t>
      </w:r>
    </w:p>
    <w:p w14:paraId="36D15D4A" w14:textId="77777777" w:rsidR="00292E61" w:rsidRPr="00292E61" w:rsidRDefault="00292E61" w:rsidP="00292E61">
      <w:pPr>
        <w:jc w:val="right"/>
        <w:rPr>
          <w:i/>
          <w:iCs/>
          <w:sz w:val="28"/>
          <w:szCs w:val="28"/>
        </w:rPr>
      </w:pPr>
      <w:hyperlink r:id="rId5" w:history="1">
        <w:r w:rsidRPr="00292E61">
          <w:rPr>
            <w:rStyle w:val="Hyperlink"/>
            <w:i/>
            <w:iCs/>
            <w:sz w:val="28"/>
            <w:szCs w:val="28"/>
          </w:rPr>
          <w:t>https://www.chicagotribune.com/about/ct-editors-note-mugshots-guidelines-20210210-3niutkl7mfd2rj6nmgcfv2mrjy-story.html</w:t>
        </w:r>
      </w:hyperlink>
    </w:p>
    <w:p w14:paraId="18F4AD36" w14:textId="77777777" w:rsidR="00292E61" w:rsidRDefault="00292E61"/>
    <w:sectPr w:rsidR="00292E6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61"/>
    <w:rsid w:val="00292E61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20F0"/>
  <w15:chartTrackingRefBased/>
  <w15:docId w15:val="{CCF1BEF9-5671-4D64-AB4A-2872AA35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cagotribune.com/about/ct-editors-note-mugshots-guidelines-20210210-3niutkl7mfd2rj6nmgcfv2mrjy-story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2021-02-11T14:20:00Z</dcterms:created>
  <dcterms:modified xsi:type="dcterms:W3CDTF">2021-02-11T14:25:00Z</dcterms:modified>
</cp:coreProperties>
</file>