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F6674" w:rsidRPr="008F6674" w:rsidRDefault="008F6674" w:rsidP="008F6674">
      <w:pPr>
        <w:rPr>
          <w:b/>
          <w:color w:val="800080"/>
          <w:sz w:val="40"/>
          <w:szCs w:val="40"/>
        </w:rPr>
      </w:pPr>
      <w:r w:rsidRPr="008F6674">
        <w:rPr>
          <w:b/>
          <w:color w:val="800080"/>
          <w:sz w:val="40"/>
          <w:szCs w:val="40"/>
        </w:rPr>
        <w:t>VAB Recommends Using Average Audience to Make Fair Comparisons</w:t>
      </w:r>
    </w:p>
    <w:p w:rsidR="008F6674" w:rsidRPr="008F6674" w:rsidRDefault="008F6674" w:rsidP="008F667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103EE5" wp14:editId="6E49A6C3">
            <wp:simplePos x="0" y="0"/>
            <wp:positionH relativeFrom="column">
              <wp:posOffset>4204970</wp:posOffset>
            </wp:positionH>
            <wp:positionV relativeFrom="paragraph">
              <wp:posOffset>911225</wp:posOffset>
            </wp:positionV>
            <wp:extent cx="191071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320" y="21246"/>
                <wp:lineTo x="21320" y="0"/>
                <wp:lineTo x="0" y="0"/>
              </wp:wrapPolygon>
            </wp:wrapTight>
            <wp:docPr id="1" name="Picture 1" descr="http://www.adweek.com/tvspy/wp-content/uploads/sites/4/2015/05/Video-Advertising-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week.com/tvspy/wp-content/uploads/sites/4/2015/05/Video-Advertising-Bur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674">
        <w:rPr>
          <w:sz w:val="40"/>
          <w:szCs w:val="40"/>
        </w:rPr>
        <w:t>The TV industry has long argued t</w:t>
      </w:r>
      <w:bookmarkStart w:id="0" w:name="_GoBack"/>
      <w:bookmarkEnd w:id="0"/>
      <w:r w:rsidRPr="008F6674">
        <w:rPr>
          <w:sz w:val="40"/>
          <w:szCs w:val="40"/>
        </w:rPr>
        <w:t>hat reports of huge audiences for Facebook and YouTube don't tell the whole story. The Video Advertising Bureau, whose members include TV networks and pay-TV companies, is recommending that observers and advertisers use average audiences as the standard to compare traditional and digital platforms.</w:t>
      </w:r>
    </w:p>
    <w:p w:rsidR="008F6674" w:rsidRPr="008F6674" w:rsidRDefault="008F6674" w:rsidP="008F6674">
      <w:pPr>
        <w:jc w:val="right"/>
        <w:rPr>
          <w:b/>
          <w:i/>
          <w:color w:val="800080"/>
          <w:sz w:val="40"/>
          <w:szCs w:val="40"/>
        </w:rPr>
      </w:pPr>
      <w:r w:rsidRPr="008F6674">
        <w:rPr>
          <w:b/>
          <w:i/>
          <w:color w:val="800080"/>
          <w:sz w:val="40"/>
          <w:szCs w:val="40"/>
        </w:rPr>
        <w:t>Advertising Age 4.26.16</w:t>
      </w:r>
    </w:p>
    <w:p w:rsidR="008F6674" w:rsidRDefault="008F6674">
      <w:hyperlink r:id="rId6" w:history="1">
        <w:r w:rsidRPr="00F40AAC">
          <w:rPr>
            <w:rStyle w:val="Hyperlink"/>
          </w:rPr>
          <w:t>http://adage.com/article/media/tv-industry-bust-digital-viewership-claims-measurement-standard/303721/?utm_source=daily_email&amp;utm_medium=newsletter&amp;utm_campaign=adage&amp;ttl=1462238821</w:t>
        </w:r>
      </w:hyperlink>
    </w:p>
    <w:p w:rsidR="008F6674" w:rsidRDefault="008F6674"/>
    <w:p w:rsidR="008F6674" w:rsidRDefault="008F6674"/>
    <w:sectPr w:rsidR="008F667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74"/>
    <w:rsid w:val="00194E35"/>
    <w:rsid w:val="00226A80"/>
    <w:rsid w:val="008F667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tv-industry-bust-digital-viewership-claims-measurement-standard/303721/?utm_source=daily_email&amp;utm_medium=newsletter&amp;utm_campaign=adage&amp;ttl=14622388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2016-04-26T11:47:00Z</dcterms:created>
  <dcterms:modified xsi:type="dcterms:W3CDTF">2016-04-26T11:52:00Z</dcterms:modified>
</cp:coreProperties>
</file>